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C4" w:rsidRPr="00851FC4" w:rsidRDefault="00851FC4" w:rsidP="00851FC4">
      <w:pPr>
        <w:shd w:val="clear" w:color="auto" w:fill="FFFFFF"/>
        <w:spacing w:after="0" w:line="630" w:lineRule="atLeast"/>
        <w:textAlignment w:val="baseline"/>
        <w:outlineLvl w:val="0"/>
        <w:rPr>
          <w:rFonts w:ascii="Times New Roman" w:eastAsia="Times New Roman" w:hAnsi="Times New Roman" w:cs="Times New Roman"/>
          <w:noProof/>
          <w:color w:val="00235F"/>
          <w:kern w:val="36"/>
          <w:sz w:val="44"/>
          <w:szCs w:val="44"/>
        </w:rPr>
      </w:pPr>
      <w:r w:rsidRPr="00851FC4">
        <w:rPr>
          <w:rFonts w:ascii="Times New Roman" w:eastAsia="Times New Roman" w:hAnsi="Times New Roman" w:cs="Times New Roman"/>
          <w:noProof/>
          <w:color w:val="00235F"/>
          <w:kern w:val="36"/>
          <w:sz w:val="44"/>
          <w:szCs w:val="44"/>
        </w:rPr>
        <w:t>Graft Vs Host Disease in Stem Cell Tx Tied to Gene Variant</w:t>
      </w:r>
    </w:p>
    <w:p w:rsidR="00851FC4" w:rsidRPr="00851FC4" w:rsidRDefault="00851FC4" w:rsidP="00851FC4">
      <w:pPr>
        <w:shd w:val="clear" w:color="auto" w:fill="FFFFFF"/>
        <w:spacing w:after="0" w:line="630" w:lineRule="atLeast"/>
        <w:textAlignment w:val="baseline"/>
        <w:outlineLvl w:val="0"/>
        <w:rPr>
          <w:rFonts w:ascii="Times New Roman" w:eastAsia="Times New Roman" w:hAnsi="Times New Roman" w:cs="Times New Roman"/>
          <w:noProof/>
          <w:color w:val="00235F"/>
          <w:kern w:val="36"/>
          <w:sz w:val="36"/>
          <w:szCs w:val="36"/>
        </w:rPr>
      </w:pPr>
      <w:r w:rsidRPr="00851FC4">
        <w:rPr>
          <w:rFonts w:ascii="Arial" w:hAnsi="Arial" w:cs="Arial"/>
          <w:noProof/>
          <w:color w:val="474E51"/>
          <w:sz w:val="33"/>
          <w:szCs w:val="33"/>
          <w:shd w:val="clear" w:color="auto" w:fill="FFFFFF"/>
        </w:rPr>
        <w:t>High expression of HLA-DPB1 increased risk of GVHD, death</w:t>
      </w:r>
    </w:p>
    <w:p w:rsidR="003C23B8" w:rsidRPr="00851FC4" w:rsidRDefault="003C23B8">
      <w:pPr>
        <w:rPr>
          <w:noProof/>
        </w:rPr>
      </w:pPr>
    </w:p>
    <w:p w:rsidR="00851FC4" w:rsidRPr="00851FC4" w:rsidRDefault="00851FC4" w:rsidP="00851FC4">
      <w:pPr>
        <w:shd w:val="clear" w:color="auto" w:fill="FFFFFF"/>
        <w:spacing w:before="450"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The risk of graft versus host disease (GVHD) after allogeneic stem cell transplant increased significantly in recipients with a genetic variant associated with increased expression of the HLA-DPB1 gene, a large genotyping study showed.</w:t>
      </w:r>
    </w:p>
    <w:p w:rsidR="00851FC4" w:rsidRPr="00851FC4" w:rsidRDefault="00851FC4" w:rsidP="00851FC4">
      <w:pPr>
        <w:shd w:val="clear" w:color="auto" w:fill="FFFFFF"/>
        <w:spacing w:before="450"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Patients with the high-expression rs9277534G allele had a 54% greater risk of GVHD after HLA-mismatched transplantation as compared with patients who had the low-expression rs9277534A allele. The risk of death from causes other than disease recurrence was 25% higher in transplant recipients with the high-expression allele.</w:t>
      </w:r>
    </w:p>
    <w:p w:rsidR="00851FC4" w:rsidRPr="00851FC4" w:rsidRDefault="00851FC4" w:rsidP="00851FC4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noProof/>
          <w:color w:val="333333"/>
          <w:sz w:val="27"/>
          <w:szCs w:val="27"/>
        </w:rPr>
      </w:pPr>
      <w:r w:rsidRPr="00851FC4">
        <w:rPr>
          <w:rFonts w:ascii="Helvetica" w:eastAsia="Times New Roman" w:hAnsi="Helvetica" w:cs="Helvetica"/>
          <w:caps/>
          <w:noProof/>
          <w:color w:val="D2D2D2"/>
          <w:spacing w:val="17"/>
          <w:sz w:val="15"/>
          <w:szCs w:val="15"/>
          <w:bdr w:val="none" w:sz="0" w:space="0" w:color="auto" w:frame="1"/>
          <w:shd w:val="clear" w:color="auto" w:fill="FFFFFF"/>
        </w:rPr>
        <w:t>ADVERTISEMENT</w:t>
      </w:r>
    </w:p>
    <w:p w:rsidR="00851FC4" w:rsidRPr="00851FC4" w:rsidRDefault="00851FC4" w:rsidP="00851FC4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Recipients with the high-expression allele had an increased risk of GVHD even with grafts from donors with the low-expression allele, as reported Aug. 13 in the</w:t>
      </w:r>
      <w:r w:rsidRPr="00851FC4">
        <w:rPr>
          <w:rFonts w:ascii="Arial" w:eastAsia="Times New Roman" w:hAnsi="Arial" w:cs="Arial"/>
          <w:noProof/>
          <w:color w:val="444444"/>
          <w:sz w:val="27"/>
        </w:rPr>
        <w:t> </w:t>
      </w:r>
      <w:hyperlink r:id="rId4" w:tgtFrame="_blank" w:history="1">
        <w:r w:rsidRPr="00851FC4">
          <w:rPr>
            <w:rFonts w:ascii="inherit" w:eastAsia="Times New Roman" w:hAnsi="inherit" w:cs="Arial"/>
            <w:i/>
            <w:iCs/>
            <w:noProof/>
            <w:color w:val="0484D9"/>
            <w:sz w:val="27"/>
          </w:rPr>
          <w:t>New England Journal of Medicine</w:t>
        </w:r>
      </w:hyperlink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.</w:t>
      </w:r>
    </w:p>
    <w:p w:rsidR="00851FC4" w:rsidRPr="00851FC4" w:rsidRDefault="00851FC4" w:rsidP="00851FC4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"Our data provide new information on the role of HLA-DPB1 expression in transplantation associated risks that can be used to guide the selection of donors for future transplant recipients in order to minimize the risk of acute GVHD,"</w:t>
      </w:r>
      <w:r w:rsidRPr="00851FC4">
        <w:rPr>
          <w:rFonts w:ascii="Arial" w:eastAsia="Times New Roman" w:hAnsi="Arial" w:cs="Arial"/>
          <w:noProof/>
          <w:color w:val="444444"/>
          <w:sz w:val="27"/>
        </w:rPr>
        <w:t> </w:t>
      </w:r>
      <w:hyperlink r:id="rId5" w:tgtFrame="_blank" w:history="1">
        <w:r w:rsidRPr="00851FC4">
          <w:rPr>
            <w:rFonts w:ascii="inherit" w:eastAsia="Times New Roman" w:hAnsi="inherit" w:cs="Arial"/>
            <w:noProof/>
            <w:color w:val="0484D9"/>
            <w:sz w:val="27"/>
          </w:rPr>
          <w:t>Effie W. Petersdorf, MD</w:t>
        </w:r>
      </w:hyperlink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, of Fred Hutchinson Cancer Research Center in Seattle, and co-authors said in conclusion. "We discovered that if rs9733534 genotypes had been known at the time of the search for an unrelated donor, almost 55% of recipients with rs9277534AG would have had suitable donors, and mismatching for their G-linked HLA-DPB1 allele could have been avoided."</w:t>
      </w:r>
    </w:p>
    <w:p w:rsidR="00851FC4" w:rsidRPr="00851FC4" w:rsidRDefault="00851FC4" w:rsidP="00851FC4">
      <w:pPr>
        <w:shd w:val="clear" w:color="auto" w:fill="FFFFFF"/>
        <w:spacing w:before="450"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lastRenderedPageBreak/>
        <w:t>"Fully HLA-compatible donors remain the donors of choice for recipients with rs9733534GG. Taken together, these data support rs9277534 and HLA-DPB1 genotyping for donor selection."</w:t>
      </w:r>
    </w:p>
    <w:p w:rsidR="00851FC4" w:rsidRPr="00851FC4" w:rsidRDefault="00851FC4" w:rsidP="00851FC4">
      <w:pPr>
        <w:shd w:val="clear" w:color="auto" w:fill="FFFFFF"/>
        <w:spacing w:before="450"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The introduction of polymerase chain reaction (PCR) assays revolutionized the ability to assess HLA-DP incompatibility and investigate its biologic relevance in transplantation. Studies involving PCR technology, DNA-based typing of HLA-A, B, C, DRB1, and DQB1-matched recipients and donors showed HLA-DPB1 mismatch in 85% of transplantations. Unidentified HLA-DPB1 mismatching can lead to life-threatening GVHD, the authors noted.</w:t>
      </w:r>
    </w:p>
    <w:p w:rsidR="00851FC4" w:rsidRPr="00851FC4" w:rsidRDefault="003C23B8" w:rsidP="00851FC4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hyperlink r:id="rId6" w:tgtFrame="_blank" w:history="1">
        <w:r w:rsidR="00851FC4" w:rsidRPr="00851FC4">
          <w:rPr>
            <w:rFonts w:ascii="inherit" w:eastAsia="Times New Roman" w:hAnsi="inherit" w:cs="Arial"/>
            <w:noProof/>
            <w:color w:val="0484D9"/>
            <w:sz w:val="27"/>
          </w:rPr>
          <w:t>Previous studies</w:t>
        </w:r>
      </w:hyperlink>
      <w:r w:rsidR="00851FC4" w:rsidRPr="00851FC4">
        <w:rPr>
          <w:rFonts w:ascii="Arial" w:eastAsia="Times New Roman" w:hAnsi="Arial" w:cs="Arial"/>
          <w:noProof/>
          <w:color w:val="444444"/>
          <w:sz w:val="27"/>
        </w:rPr>
        <w:t> </w:t>
      </w:r>
      <w:r w:rsidR="00851FC4"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showed an association of rs2281389 with acute GVHD, but the variant resides in a noncoding DNA region, making it an unlikely direct mediator of GVHD, the authors continued. In contrast, rs9277534 is linked to the HLA-DPB1 exon 2 allele that defines the HLA-DP-beta protein and tissue type. Moreover, both variants are in proximity to HLA-DPB1 and each other.</w:t>
      </w:r>
    </w:p>
    <w:p w:rsidR="00851FC4" w:rsidRPr="00851FC4" w:rsidRDefault="00851FC4" w:rsidP="00851FC4">
      <w:pPr>
        <w:shd w:val="clear" w:color="auto" w:fill="FFFFFF"/>
        <w:spacing w:before="450"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"The close relationship between rs2281389 and rs9277534 across haplotypes makes the rs9277534 expression variant a plausible marker for the risk of GVHD," the authors said.</w:t>
      </w:r>
    </w:p>
    <w:p w:rsidR="00851FC4" w:rsidRPr="00851FC4" w:rsidRDefault="00851FC4" w:rsidP="00851FC4">
      <w:pPr>
        <w:shd w:val="clear" w:color="auto" w:fill="FFFFFF"/>
        <w:spacing w:before="450"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To investigate a possible role of rs9277534 in GVHD, the authors genotyped the variant in 3,505 persons to define rs9277534-DPB1 haplotypes. They retrospectively determined linkage of the rs9277534 A and G alleles to mismatched HLA-DPB1 in 1,441 stem-cell recipients with a single HLA-DPB1 mismatch, and they used a PCR assay to assess HLA-DPB1 expression.</w:t>
      </w:r>
    </w:p>
    <w:p w:rsidR="00851FC4" w:rsidRPr="00851FC4" w:rsidRDefault="00851FC4" w:rsidP="00851FC4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Investigators compared the risk of acute GVHD among recipients with the HLA-DPB1 high-expression rs9277534G allele versus recipients with the low-expression rs9277534A allele. Recipients with rs9277534G-associated HLA-DPB1 mismatches had a hazard ratio for GVHD of 1.54 (95% CI 1.25 to 1.89,</w:t>
      </w:r>
      <w:r w:rsidRPr="00851FC4">
        <w:rPr>
          <w:rFonts w:ascii="Arial" w:eastAsia="Times New Roman" w:hAnsi="Arial" w:cs="Arial"/>
          <w:noProof/>
          <w:color w:val="444444"/>
          <w:sz w:val="27"/>
        </w:rPr>
        <w:t> </w:t>
      </w:r>
      <w:r w:rsidRPr="00851FC4">
        <w:rPr>
          <w:rFonts w:ascii="inherit" w:eastAsia="Times New Roman" w:hAnsi="inherit" w:cs="Arial"/>
          <w:i/>
          <w:iCs/>
          <w:noProof/>
          <w:color w:val="444444"/>
          <w:sz w:val="27"/>
        </w:rPr>
        <w:t>P</w:t>
      </w: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&lt;0.001) and a hazard ratio of 1.25 for death by causes other than disease recurrence (95% CI 1.00 to 1.57,</w:t>
      </w:r>
      <w:r w:rsidRPr="00851FC4">
        <w:rPr>
          <w:rFonts w:ascii="Arial" w:eastAsia="Times New Roman" w:hAnsi="Arial" w:cs="Arial"/>
          <w:noProof/>
          <w:color w:val="444444"/>
          <w:sz w:val="27"/>
        </w:rPr>
        <w:t> </w:t>
      </w:r>
      <w:r w:rsidRPr="00851FC4">
        <w:rPr>
          <w:rFonts w:ascii="inherit" w:eastAsia="Times New Roman" w:hAnsi="inherit" w:cs="Arial"/>
          <w:i/>
          <w:iCs/>
          <w:noProof/>
          <w:color w:val="444444"/>
          <w:sz w:val="27"/>
        </w:rPr>
        <w:t>P</w:t>
      </w: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=0.05).</w:t>
      </w:r>
    </w:p>
    <w:p w:rsidR="00851FC4" w:rsidRPr="00851FC4" w:rsidRDefault="00851FC4" w:rsidP="00851FC4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lastRenderedPageBreak/>
        <w:t>The data showed that recipients with rs9277534G-linked HLA-DPB1 mismatches had a significantly increased risk of grade II, III, or IV acute GVHD (HR 1.32, 95% CI 1.13 to 1.55,</w:t>
      </w:r>
      <w:r w:rsidRPr="00851FC4">
        <w:rPr>
          <w:rFonts w:ascii="inherit" w:eastAsia="Times New Roman" w:hAnsi="inherit" w:cs="Arial"/>
          <w:i/>
          <w:iCs/>
          <w:noProof/>
          <w:color w:val="444444"/>
          <w:sz w:val="27"/>
        </w:rPr>
        <w:t>P</w:t>
      </w: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&lt;0.001) and grade III or IV acute GVHD (HR 1.34, 95% CI 1.08 to 1.69,</w:t>
      </w:r>
      <w:r w:rsidRPr="00851FC4">
        <w:rPr>
          <w:rFonts w:ascii="Arial" w:eastAsia="Times New Roman" w:hAnsi="Arial" w:cs="Arial"/>
          <w:noProof/>
          <w:color w:val="444444"/>
          <w:sz w:val="27"/>
        </w:rPr>
        <w:t> </w:t>
      </w:r>
      <w:r w:rsidRPr="00851FC4">
        <w:rPr>
          <w:rFonts w:ascii="inherit" w:eastAsia="Times New Roman" w:hAnsi="inherit" w:cs="Arial"/>
          <w:i/>
          <w:iCs/>
          <w:noProof/>
          <w:color w:val="444444"/>
          <w:sz w:val="27"/>
        </w:rPr>
        <w:t>P</w:t>
      </w: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=0.009). These analyses showed that the risk was limited to transplants involving patients with rs9277534G-linked HLA-DPB1 and donors with rs9277534A-linked HLA-DPB1.</w:t>
      </w:r>
    </w:p>
    <w:p w:rsidR="00851FC4" w:rsidRPr="00851FC4" w:rsidRDefault="00851FC4" w:rsidP="00851FC4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The rs9277534G-linked mismatch was associated with a lower risk of relapse as compared with the rs9277534A-linked mismatches (HR 0.80, 95% CI 0.64 to 0.99,</w:t>
      </w:r>
      <w:r w:rsidRPr="00851FC4">
        <w:rPr>
          <w:rFonts w:ascii="Arial" w:eastAsia="Times New Roman" w:hAnsi="Arial" w:cs="Arial"/>
          <w:noProof/>
          <w:color w:val="444444"/>
          <w:sz w:val="27"/>
        </w:rPr>
        <w:t> </w:t>
      </w:r>
      <w:r w:rsidRPr="00851FC4">
        <w:rPr>
          <w:rFonts w:ascii="inherit" w:eastAsia="Times New Roman" w:hAnsi="inherit" w:cs="Arial"/>
          <w:i/>
          <w:iCs/>
          <w:noProof/>
          <w:color w:val="444444"/>
          <w:sz w:val="27"/>
        </w:rPr>
        <w:t>P</w:t>
      </w: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=0.04), an observation consistent with a graft-versus-leukemia affect.</w:t>
      </w:r>
    </w:p>
    <w:p w:rsidR="00851FC4" w:rsidRPr="00851FC4" w:rsidRDefault="00851FC4" w:rsidP="00851FC4">
      <w:pPr>
        <w:shd w:val="clear" w:color="auto" w:fill="FFFFFF"/>
        <w:spacing w:after="0" w:line="405" w:lineRule="atLeast"/>
        <w:textAlignment w:val="baseline"/>
        <w:rPr>
          <w:rFonts w:ascii="Arial" w:eastAsia="Times New Roman" w:hAnsi="Arial" w:cs="Arial"/>
          <w:noProof/>
          <w:color w:val="444444"/>
          <w:sz w:val="27"/>
          <w:szCs w:val="27"/>
        </w:rPr>
      </w:pP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"The higher risk of GVHD was balanced by the lower risk of relapse, leading to similar overall mortality (HR 1.03,</w:t>
      </w:r>
      <w:r w:rsidRPr="00851FC4">
        <w:rPr>
          <w:rFonts w:ascii="Arial" w:eastAsia="Times New Roman" w:hAnsi="Arial" w:cs="Arial"/>
          <w:noProof/>
          <w:color w:val="444444"/>
          <w:sz w:val="27"/>
        </w:rPr>
        <w:t> </w:t>
      </w:r>
      <w:r w:rsidRPr="00851FC4">
        <w:rPr>
          <w:rFonts w:ascii="inherit" w:eastAsia="Times New Roman" w:hAnsi="inherit" w:cs="Arial"/>
          <w:i/>
          <w:iCs/>
          <w:noProof/>
          <w:color w:val="444444"/>
          <w:sz w:val="27"/>
        </w:rPr>
        <w:t>P</w:t>
      </w:r>
      <w:r w:rsidRPr="00851FC4">
        <w:rPr>
          <w:rFonts w:ascii="Arial" w:eastAsia="Times New Roman" w:hAnsi="Arial" w:cs="Arial"/>
          <w:noProof/>
          <w:color w:val="444444"/>
          <w:sz w:val="27"/>
          <w:szCs w:val="27"/>
        </w:rPr>
        <w:t>=0.70)," the authors reported.</w:t>
      </w:r>
      <w:permStart w:id="0" w:edGrp="everyone"/>
      <w:permEnd w:id="0"/>
    </w:p>
    <w:p w:rsidR="00851FC4" w:rsidRPr="00851FC4" w:rsidRDefault="00851FC4">
      <w:pPr>
        <w:rPr>
          <w:noProof/>
        </w:rPr>
      </w:pPr>
    </w:p>
    <w:sectPr w:rsidR="00851FC4" w:rsidRPr="00851FC4" w:rsidSect="003C23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kermpKod8uT4Zl62auc6js/Bv2g=" w:salt="RDsgEFsMIeDgJL54AO6V5A=="/>
  <w:defaultTabStop w:val="720"/>
  <w:characterSpacingControl w:val="doNotCompress"/>
  <w:compat>
    <w:useFELayout/>
  </w:compat>
  <w:rsids>
    <w:rsidRoot w:val="00851FC4"/>
    <w:rsid w:val="003C23B8"/>
    <w:rsid w:val="00851FC4"/>
    <w:rsid w:val="00A8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B8"/>
  </w:style>
  <w:style w:type="paragraph" w:styleId="Heading1">
    <w:name w:val="heading 1"/>
    <w:basedOn w:val="Normal"/>
    <w:link w:val="Heading1Char"/>
    <w:uiPriority w:val="9"/>
    <w:qFormat/>
    <w:rsid w:val="00851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F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51FC4"/>
  </w:style>
  <w:style w:type="character" w:styleId="Hyperlink">
    <w:name w:val="Hyperlink"/>
    <w:basedOn w:val="DefaultParagraphFont"/>
    <w:uiPriority w:val="99"/>
    <w:semiHidden/>
    <w:unhideWhenUsed/>
    <w:rsid w:val="00851F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51F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277">
          <w:marLeft w:val="-315"/>
          <w:marRight w:val="25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?term=%22Science+translational+medicine%22%5BJour%5D+AND+2012%5Bpdat%5D+AND+Petersdorf+EW%5Bfirst+author%5D&amp;cmd=detailssearch" TargetMode="External"/><Relationship Id="rId5" Type="http://schemas.openxmlformats.org/officeDocument/2006/relationships/hyperlink" Target="https://www.fredhutch.org/en/labs/profiles/petersdorf-effie-wang.html" TargetMode="External"/><Relationship Id="rId4" Type="http://schemas.openxmlformats.org/officeDocument/2006/relationships/hyperlink" Target="http://www.nej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3863</Characters>
  <Application>Microsoft Office Word</Application>
  <DocSecurity>8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2015-08-19T12:05:00Z</dcterms:created>
  <dcterms:modified xsi:type="dcterms:W3CDTF">2015-08-31T23:10:00Z</dcterms:modified>
</cp:coreProperties>
</file>